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УТВЕРЖДЕН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Постановлением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администрации города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Комсомольска-на-Амуре</w:t>
      </w:r>
    </w:p>
    <w:p w:rsidR="00F361F2" w:rsidRDefault="00F361F2" w:rsidP="00F361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18 сентября 2020 г. №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 1815-па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(в ред. от 09.07.2021 № 1229-па)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61F2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61F2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/>
          <w:bCs/>
          <w:sz w:val="28"/>
          <w:szCs w:val="28"/>
        </w:rPr>
        <w:t>РАЗВИТИЕ МЕЖДУНАРОДНЫХ СВЯЗЕЙ</w:t>
      </w:r>
      <w:r w:rsidRPr="00F361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361F2">
        <w:rPr>
          <w:rFonts w:ascii="Times New Roman" w:hAnsi="Times New Roman" w:cs="Times New Roman"/>
          <w:b/>
          <w:bCs/>
          <w:sz w:val="28"/>
          <w:szCs w:val="28"/>
        </w:rPr>
        <w:t>И ТУРИЗМА В ГОРОДЕ КОМСОМОЛЬСКЕ-НА-АМУРЕ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7654"/>
      </w:tblGrid>
      <w:tr w:rsidR="00F361F2" w:rsidRPr="00F361F2" w:rsidTr="00F361F2">
        <w:tc>
          <w:tcPr>
            <w:tcW w:w="2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Департамент экономического развития администрации города Комсомольска-на-Амуре (далее - Департамент экономического развития)</w:t>
            </w:r>
          </w:p>
        </w:tc>
      </w:tr>
      <w:tr w:rsidR="00F361F2" w:rsidRPr="00F361F2" w:rsidTr="00F361F2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Соисполнители Программы, участники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Управление образования администрации города Комсомольска-на-Амуре (далее - Управление образования).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Управление архитектуры и градостроительства администрации города Комсомольска-на-Амуре (далее - </w:t>
            </w:r>
            <w:proofErr w:type="spellStart"/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УАиГ</w:t>
            </w:r>
            <w:proofErr w:type="spellEnd"/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).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Общество с ограниченной ответственностью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Омега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(далее - ООО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Омега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) (по согласованию).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Автономная некоммерческая организация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gramStart"/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Водно-спортивный</w:t>
            </w:r>
            <w:proofErr w:type="gramEnd"/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комплекс г. Комсомольска-на-Амуре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(далее - АНО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ВСК г. Комсомольска-на-Амуре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) (по согласованию).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Общество с ограниченной ответственностью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Взлет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(ООО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Взлет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) (по согласованию).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Общество с ограниченной ответственностью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Силинский</w:t>
            </w:r>
            <w:proofErr w:type="spellEnd"/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парк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(далее - ООО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Силинский</w:t>
            </w:r>
            <w:proofErr w:type="spellEnd"/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парк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) (по согласованию).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Общество с ограниченной ответственностью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Атлант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(далее - ООО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Атлант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) (по согласованию).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Индивидуальный предприниматель Калуга Михаил Михайлович (далее - ИП Калуга М.М.) (по согласованию).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Общество с ограниченной ответственностью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ДВ-</w:t>
            </w:r>
            <w:proofErr w:type="spellStart"/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Регионснаб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(далее - ООО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ДВ-</w:t>
            </w:r>
            <w:proofErr w:type="spellStart"/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Регионснаб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) (по согласованию).</w:t>
            </w:r>
          </w:p>
        </w:tc>
      </w:tr>
      <w:tr w:rsidR="00F361F2" w:rsidRPr="00F361F2" w:rsidTr="00F361F2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Цели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1. Развитие международных связей города Комсомольска-на-Амуре.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2. Создание условий для развития туризма в городе Комсомольске-на-Амуре.</w:t>
            </w:r>
          </w:p>
        </w:tc>
      </w:tr>
      <w:tr w:rsidR="00F361F2" w:rsidRPr="00F361F2" w:rsidTr="00F361F2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Задачи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развитие побратимских и дружественных связей города Комсомольска-на-Амуре с зарубежными городами;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развитие международной кооперации и экспорта города Комсомольска-на-Амуре;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продвижение промышленного потенциала города Комсомольска-на-Амуре на внешний рынок;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содействие сотрудничеству предприятий и организаций города с международными организациями;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повышение узнаваемости города Комсомольска-на-Амуре на международной арене;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повышение информированности населения города Комсомольска-на-Амуре о международной деятельности;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формирование и укрепление положительного имиджа города Комсомольска-на-Амуре как территории благоприятной для развития туризма;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развитие и совершенствование туристической и сопутствующей инфраструктуры;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повышение качества туристических и гостиничных услуг;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повышение информированности населения города Комсомольска-на-Амуре о развитии туристской отрасли.</w:t>
            </w:r>
          </w:p>
        </w:tc>
      </w:tr>
      <w:tr w:rsidR="00F361F2" w:rsidRPr="00F361F2" w:rsidTr="00F361F2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Реализация подпрограммных мероприятий не предусмотрена</w:t>
            </w:r>
          </w:p>
        </w:tc>
      </w:tr>
      <w:tr w:rsidR="00F361F2" w:rsidRPr="00F361F2" w:rsidTr="00F361F2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1. 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мероприятий.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2. Развитие дружественных связей, продвижение и информационное сопровождение международной деятельности, реализация организационных мероприятий.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 Развитие и совершенствование туристской и сопутствующей инфраструктуры. Формирование туристско-рекреационного кластера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Комсомольский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включающего </w:t>
            </w:r>
            <w:proofErr w:type="spellStart"/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субкластеры</w:t>
            </w:r>
            <w:proofErr w:type="spellEnd"/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Центральный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Ключевая сопка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Силинский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Авиационный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Холдоми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4. Развитие туризма.</w:t>
            </w:r>
          </w:p>
        </w:tc>
      </w:tr>
      <w:tr w:rsidR="00F361F2" w:rsidRPr="00F361F2" w:rsidTr="00F361F2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Показатели (индикаторы)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количество международных и внешнеэкономических мероприятий с участием города Комсомольска-на-Амуре;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количество мероприятий, проведенных с городами-побратимами;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количество предприятий и организаций города Комсомольска-на-Амуре, которым оказано содействие в реализации проектов, участии в специализированных выставках, ярмарках, обучающих семинарах, стажировках и других международных мероприятиях;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количество лиц, размещенных в коллективных средствах </w:t>
            </w: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размещения города Комсомольска-на-Амуре;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численность экскурсантов, обслуженных предприятиями туристской отрасли города Комсомольска-на-Амуре;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экспорт туристических услуг.</w:t>
            </w:r>
          </w:p>
        </w:tc>
      </w:tr>
      <w:tr w:rsidR="00F361F2" w:rsidRPr="00F361F2" w:rsidTr="00F361F2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2021 - 2025 гг.</w:t>
            </w:r>
          </w:p>
        </w:tc>
      </w:tr>
      <w:tr w:rsidR="00F361F2" w:rsidRPr="00F361F2" w:rsidTr="00F361F2">
        <w:tc>
          <w:tcPr>
            <w:tcW w:w="2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 и прогнозная (справочная) оценка расходов краевого бюджета, внебюджетных средств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Общий объем финансирования Программы (прогнозная справочная оценка) за счет всех источников составляет - 2 520 851,28 тыс. руб.,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в том числе по годам: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- 2021 год - 828 726,78 тыс. руб.;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- 2022 год - 852 774,50 тыс. руб.;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- 2023 год - 811 450,00 тыс. руб.;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- 2024 год - 26 450,00 тыс. руб.;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- 2025 год - 1 450,00 тыс. руб.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1. Краевой бюджет (по согласованию) - 70 723,41 тыс. руб., в том числе по годам: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- 2021 год - 70 723,41 тыс. руб.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2. Местный бюджет - 40 127,87 тыс. руб., в том числе по годам: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- 2021 год - 8 003,37 тыс. руб.;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- 2022 год - 2 774,50 тыс. руб.;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- 2023 год - 1 450,00 тыс. руб.;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- 2024 год - 26 450,00 тыс. руб.;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- 2025 год - 1 450,00 тыс. руб.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3. Внебюджетные средства (по согласованию) - 2 410 000,00 тыс. руб., в том числе по годам: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- 2021 год - 750 000,00 тыс. руб.;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- 2022 год - 850 000,00 тыс. руб.;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- 2023 год - 810 000,00 тыс. руб.</w:t>
            </w:r>
          </w:p>
        </w:tc>
      </w:tr>
      <w:tr w:rsidR="00F361F2" w:rsidRPr="00F361F2" w:rsidTr="00F361F2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Конечные результаты реализации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активизация международных связей;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увеличение количества международных и внешнеэкономических мероприятий с участием города Комсомольска-на-Амуре;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увеличение количества российских туристов, размещенных в коллективных средствах размещения города;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увеличение экспорта туристских услуг;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увеличение количества экскурсантов, обслуженных предприятиями туристской отрасли города;</w:t>
            </w:r>
          </w:p>
          <w:p w:rsidR="00F361F2" w:rsidRPr="00F361F2" w:rsidRDefault="00F36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- улучшение качества предоставляемых туристских услуг.</w:t>
            </w:r>
          </w:p>
        </w:tc>
      </w:tr>
    </w:tbl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361F2">
        <w:rPr>
          <w:rFonts w:ascii="Times New Roman" w:hAnsi="Times New Roman" w:cs="Times New Roman"/>
          <w:b/>
          <w:bCs/>
          <w:sz w:val="28"/>
          <w:szCs w:val="28"/>
        </w:rPr>
        <w:lastRenderedPageBreak/>
        <w:t>1. Общая характеристика текущего состояния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61F2">
        <w:rPr>
          <w:rFonts w:ascii="Times New Roman" w:hAnsi="Times New Roman" w:cs="Times New Roman"/>
          <w:b/>
          <w:bCs/>
          <w:sz w:val="28"/>
          <w:szCs w:val="28"/>
        </w:rPr>
        <w:t>международной деятельности и туристской отрасли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Муниципальная программа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Развитие международных связей и туризма в городе Комсомольске-на-Амуре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направлена на реализацию положений </w:t>
      </w:r>
      <w:hyperlink r:id="rId7" w:history="1">
        <w:r w:rsidRPr="00F361F2">
          <w:rPr>
            <w:rFonts w:ascii="Times New Roman" w:hAnsi="Times New Roman" w:cs="Times New Roman"/>
            <w:bCs/>
            <w:color w:val="0000FF"/>
            <w:sz w:val="28"/>
            <w:szCs w:val="28"/>
          </w:rPr>
          <w:t>Стратегии</w:t>
        </w:r>
      </w:hyperlink>
      <w:r w:rsidRPr="00F361F2">
        <w:rPr>
          <w:rFonts w:ascii="Times New Roman" w:hAnsi="Times New Roman" w:cs="Times New Roman"/>
          <w:bCs/>
          <w:sz w:val="28"/>
          <w:szCs w:val="28"/>
        </w:rPr>
        <w:t xml:space="preserve"> социально-экономического развития Хабаровского края на период до 2030 года, утвержденной постановлением Правительства Хабаровского края от 13 июня 2018 г. N 215-пр, </w:t>
      </w:r>
      <w:hyperlink r:id="rId8" w:history="1">
        <w:r w:rsidRPr="00F361F2">
          <w:rPr>
            <w:rFonts w:ascii="Times New Roman" w:hAnsi="Times New Roman" w:cs="Times New Roman"/>
            <w:bCs/>
            <w:color w:val="0000FF"/>
            <w:sz w:val="28"/>
            <w:szCs w:val="28"/>
          </w:rPr>
          <w:t>Стратегии</w:t>
        </w:r>
      </w:hyperlink>
      <w:r w:rsidRPr="00F361F2">
        <w:rPr>
          <w:rFonts w:ascii="Times New Roman" w:hAnsi="Times New Roman" w:cs="Times New Roman"/>
          <w:bCs/>
          <w:sz w:val="28"/>
          <w:szCs w:val="28"/>
        </w:rPr>
        <w:t xml:space="preserve"> социально-экономического развития городского округа города Комсомольска-на-Амуре Хабаровского края до 2032 года, утвержденной решением Комсомольской-на-Амуре городской Думы от 28 декабря 2016 г. N 116</w:t>
      </w:r>
      <w:proofErr w:type="gram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, а также </w:t>
      </w:r>
      <w:hyperlink r:id="rId9" w:history="1">
        <w:r w:rsidRPr="00F361F2">
          <w:rPr>
            <w:rFonts w:ascii="Times New Roman" w:hAnsi="Times New Roman" w:cs="Times New Roman"/>
            <w:bCs/>
            <w:color w:val="0000FF"/>
            <w:sz w:val="28"/>
            <w:szCs w:val="28"/>
          </w:rPr>
          <w:t>Плана</w:t>
        </w:r>
      </w:hyperlink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мероприятий по реализации Стратегии социально-экономического развития городского округа города Комсомольска-на-Амуре Хабаровского края до 2032 года, утвержденного постановлением администрации города Комсомольска-на-Амуре от 25 сентября 2017 г. N 2419-па.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В соответствии с Федеральным </w:t>
      </w:r>
      <w:hyperlink r:id="rId10" w:history="1">
        <w:r w:rsidRPr="00F361F2">
          <w:rPr>
            <w:rFonts w:ascii="Times New Roman" w:hAnsi="Times New Roman" w:cs="Times New Roman"/>
            <w:bCs/>
            <w:color w:val="0000FF"/>
            <w:sz w:val="28"/>
            <w:szCs w:val="28"/>
          </w:rPr>
          <w:t>законом</w:t>
        </w:r>
      </w:hyperlink>
      <w:r w:rsidRPr="00F361F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от 06 октября 2003 г. N 131-ФЗ органы местного самоуправления наделены: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полномочиями на осуществление международных и внешнеэкономических связей;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правом на создание условий для развития туризма.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Международное сотрудничество является неотъемлемой частью муниципальной политики. А в современных условиях, когда во всем мире все большее значение приобретают процессы сотрудничества, интеграции и создания новых единых экономических пространств, активизация международной и внешнеэкономической деятельности города Комсомольска-на-Амуре становится одним из ключевых условий успешного и устойчивого развития города.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В настоящее время повышение авторитета на международном уровне, создание положительного имиджа, формирование благоприятного делового климата для совершенствования международной деятельности входит в ряд приоритетных направлений работы администрации города.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По итогам международного рейтинга городов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Исследование международной активности городов за 2018 год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, организованного Евразийским региональным отделением Всемирной Организации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Объединенные города и Местные власти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>, город Комсомольск-на-Амуре в общем рейтинге международной активности занял 33 место (общее количество городов - участников рейтинга - 80), в рейтинге среди крупных городов (население от 100 000 до 499 999 человек) Комсомольск-на-Амуре занял 10 место (общее количество городов - участников</w:t>
      </w:r>
      <w:proofErr w:type="gram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рейтинга - 28).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Город Комсомольск-на-Амуре, являясь промышленным центром и инженерной столицей Дальнего Востока, играет активную роль во внешнеэкономической деятельности Хабаровского края и Российской Федерации: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lastRenderedPageBreak/>
        <w:t>- предприятия города Комсомольска-на-Амуре признаны лучшими экспортерами России, награждены дипломами и медалями международных конкурсов;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продукция городских предприятий отмечена международными сертификатами качества и уверенно завоевывает международный рынок;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внешнеторговыми партнерами города Комсомольска-на-Амуре выступают более 30 стран мира.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Приоритетным направлением международной деятельности для города Комсомольска-на-Амуре стало участие в международных объединениях городских сообществ: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- с 2005 года - членство в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Союзе городов с развитым машиностроением в Северо-Восточной Азии (UMCA)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>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- с 2006 года - членство в Евроазиатском региональном отделении Всемирной организации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Объединенные Города и Местные Власти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 (ОГМВ).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Одним из важнейших направлений международного сотрудничества города Комсомольска-на-Амуре является развитие побратимских связей. В настоящее время у города 3 города-побратима: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- город Камо (префектура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Ниигата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, Япония), с которым 22 мая 1991 года подписан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Протокол намерений по установлению дружественных связей между г. Комсомольском-на-Амуре и г. Камо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>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- город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Цзямусы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(провинция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Хэйлунцзян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, КНР) -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Соглашение об установлении породненных отношений между городами Комсомольском-на-Амуре и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Цзямусы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от 11 июня 1994 года;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- город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Вэйнань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(провинция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Шэньси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, КНР) -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Протокол о намерениях развития дружественных связей между городом Комсомольском-на-Амуре и городом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Вэйнань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от 23 мая 2014 года.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Более 20 лет, в рамках реализации дружественных связей между городами-побратимами, на постоянной основе проводятся мероприятия в области культуры, образования, спорта и туризма, обмены официальными делегациями, творческими коллективами, детскими и молодежными делегациями.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С 2018 года стало активно развиваться сотрудничество между общеобразовательными школами. Так, МОУ Гимназия N 1 города Комсомольска-на-Амуре и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Наньтанская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начальная школа города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Вэйнань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(провинция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Шэньси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, КНР) на постоянной основе проводят виртуальные экскурсии по городу Комсомольску-на-Амуре и городу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Вэйнань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>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В 2019 году подписан Протокол о намерениях по сотрудничеству между Центром образования имени Героя Советского Союза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А.П.Маресьева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Открытие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и школой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Пейли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города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Цзямусы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(провинция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Хэйлунцзян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>, КНР).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В период летних каникул в 2019 году в пришкольных лагерях и детских оздоровительных лагерях города Комсомольска-на-Амуре администрацией города совместно с Народным Правительством города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Цзямусы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(провинция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Хэйлунцзян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, КНР) организованы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видеоуроки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и проведена китайская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Веселая танцевальная зарядка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>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Ежегодно между городом Комсомольском-на-Амуре и городом Камо (префектура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Ниигата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>, Япония) приводятся обмены детскими делегациями в составе 16 человек. В ходе визитов дети знакомятся с культурой, традициями и жизнью городов-побратимов.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Высшие учебные заведения Комсомольска-на-Амуре активно налаживают сотрудничество с зарубежными образовательными учреждениями, реализуются двухсторонние связи в научно-исследовательской работе, программы студенческих и преподавательских обменов, программы подготовки аспирантов и магистрантов, учебные и языковые практики.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В рамках участия города Комсомольска-на-Амуре в реализации международного проекта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Союз городов с развитым машиностроением в Северо-Восточной Азии (UMCA)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 с 2018 года администрация города Комсомольска-на-Амуре начала активное сотрудничество с Центром сервиса по вопросам культуры и туризма города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Вэйхай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(провинция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Шаньдун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, КНР) и международной туристической компанией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ДУНЖУН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провинции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Шаньдун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>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В апреле 2019 года прошла Презентация туристического, культурного, спортивного и образовательного потенциала города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Вэйхай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>, в том числе по вопросам обучения российских и китайских студентов.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В рамках сотрудничества с Центром сервиса по вопросам культуры и туризма города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Вэйхай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и международной туристической компанией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ДУНЖУН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провинции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Шаньдун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представители КГБ ПОУ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Комсомольский-на-Амуре лесопромышленный техникум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 с 26 по 31 октября 2018 года приняли участие в Международных соревнованиях высших учебных заведений по использованию прикладных технических инноваций в городе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Вэйхай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. По итогам соревнований получили премию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Лучший инструктор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и заняли 1 место в номинации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Техника сварки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. Представители ФГБОУ ВО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КнАГУ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, ФБУН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ИМиМ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ДВО РАН в мае 2019 года приняли участие в Научной конференции высокоуровневых проектов в городе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Вэйхай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>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Предприятия и организации города Комсомольска-на-Амуре ежегодно принимают участие в международных выставках-ярмарках, презентациях Хабаровского края в России и за рубежом, в деловых стажировках и обучающих семинарах с участием зарубежных специалистов.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Администрация города Комсомольска-на-Амуре с 1997 года тесно сотрудничает с Японским центром в городе Хабаровске. Ежегодно представители администрации города, малого и среднего бизнеса, учебных заведений проходят обучение на различных семинарах Японского центра и принимают участие в деловых стажировках в Японии.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Муниципальная программа призвана решать проблемы по оказанию адресного содействия в реализации проектов, направленных на укрепление взаимовыгодного сотрудничества Комсомольска-на-Амуре с зарубежными партнерами, в связи с чем, все вышеперечисленное свидетельствует о необходимости развития внешнеэкономических связей и участия в международных мероприятиях.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Несмотря на имеющийся многолетний опыт развития международных контактов и достигнутые результаты, существует ряд проблемных вопросов, </w:t>
      </w:r>
      <w:r w:rsidRPr="00F361F2">
        <w:rPr>
          <w:rFonts w:ascii="Times New Roman" w:hAnsi="Times New Roman" w:cs="Times New Roman"/>
          <w:bCs/>
          <w:sz w:val="28"/>
          <w:szCs w:val="28"/>
        </w:rPr>
        <w:lastRenderedPageBreak/>
        <w:t>сдерживающих развитие международных и внешнеэкономических связей города Комсомольска-на-Амуре, среди которых можно выделить следующие: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1. Недостаточное участие города Комсомольска-на-Амуре в международных мероприятиях.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2. Слабое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имиджевое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позиционирование города Комсомольска-на-Амуре за рубежом.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3. Недостаток эффективных инвестиционных проектов у предприятий и организаций города Комсомольска-на-Амуре для коммерческого инвестирования.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4. Узкий круг форм сотрудничества с городами-побратимами.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5. Недостаточное использование предприятиями и организациями города механизма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выставочно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>-ярмарочной деятельности для продвижения своей продукции на внешний рынок.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Внешнеэкономическая и международная деятельность города Комсомольска-на-Амуре будет развиваться в соответствии с основными тенденциями и направлениями развития, в том числе: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углубление сотрудничества города Комсомольска-на-Амуре с городами-побратимами;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активизация участия администрации города Комсомольска-на-Амуре, предприятий и организаций города Комсомольска-на-Амуре в международных и внешнеэкономических мероприятиях;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продвижение имиджа города Комсомольска-на-Амуре за рубежом.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Современная туристская индустрия является одной из самых высокодоходных отраслей в мировой экономике, демонстрируя устойчивые темпы роста. Туристская отрасль способствует созданию новых рабочих мест, увеличению налогооблагаемой базы и поступлений средств от налогов в местный бюджет.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361F2">
        <w:rPr>
          <w:rFonts w:ascii="Times New Roman" w:hAnsi="Times New Roman" w:cs="Times New Roman"/>
          <w:bCs/>
          <w:sz w:val="28"/>
          <w:szCs w:val="28"/>
        </w:rPr>
        <w:t>По состоянию на 01 января 2020 года основу туристического комплекса муниципального образования города Комсомольска-на-Амуре составляют 70 памятников истории и культуры, 61 памятник архитектуры и градостроительства, 31 коллективное средство размещения, в том числе 12 гостиниц, 29 туристических компаний, 168 общедоступных предприятий общественного питания, 2 лыжные базы и 1 база активного отдыха, 2 памятника природы краевого значения, 2 особо охраняемые природные территории</w:t>
      </w:r>
      <w:proofErr w:type="gram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местного значения, 2 городских и 4 ведомственных музея, 3 театра, 5 парков культуры и отдыха, 4 кинотеатра, арт-галерея, Выставочный зал Союза художников, 4 дворца культуры, зоологический центр, 4 спортивных стадиона, Ледовый дворец, 15 бассейнов, 2 санатория-профилактория, 12 ночных клубов.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361F2">
        <w:rPr>
          <w:rFonts w:ascii="Times New Roman" w:hAnsi="Times New Roman" w:cs="Times New Roman"/>
          <w:bCs/>
          <w:sz w:val="28"/>
          <w:szCs w:val="28"/>
        </w:rPr>
        <w:t>Среднегодовой</w:t>
      </w:r>
      <w:proofErr w:type="gram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турпоток города Комсомольска-на-Амуре составляет 71 723 человека, из них: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- на внутреннем направлении ежегодно обслуживается в среднем 62 712 человек (87,4% от </w:t>
      </w:r>
      <w:proofErr w:type="gramStart"/>
      <w:r w:rsidRPr="00F361F2">
        <w:rPr>
          <w:rFonts w:ascii="Times New Roman" w:hAnsi="Times New Roman" w:cs="Times New Roman"/>
          <w:bCs/>
          <w:sz w:val="28"/>
          <w:szCs w:val="28"/>
        </w:rPr>
        <w:t>среднегодового</w:t>
      </w:r>
      <w:proofErr w:type="gram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турпотока);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- на </w:t>
      </w:r>
      <w:proofErr w:type="gramStart"/>
      <w:r w:rsidRPr="00F361F2">
        <w:rPr>
          <w:rFonts w:ascii="Times New Roman" w:hAnsi="Times New Roman" w:cs="Times New Roman"/>
          <w:bCs/>
          <w:sz w:val="28"/>
          <w:szCs w:val="28"/>
        </w:rPr>
        <w:t>международном</w:t>
      </w:r>
      <w:proofErr w:type="gram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въездном - 1 100 человек (1,6% от среднегодового турпотока);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на </w:t>
      </w:r>
      <w:proofErr w:type="gramStart"/>
      <w:r w:rsidRPr="00F361F2">
        <w:rPr>
          <w:rFonts w:ascii="Times New Roman" w:hAnsi="Times New Roman" w:cs="Times New Roman"/>
          <w:bCs/>
          <w:sz w:val="28"/>
          <w:szCs w:val="28"/>
        </w:rPr>
        <w:t>международном</w:t>
      </w:r>
      <w:proofErr w:type="gram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выездном - 7 904 человека (11% от среднегодового турпотока).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Таблица 1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1241"/>
        <w:gridCol w:w="1169"/>
        <w:gridCol w:w="1134"/>
        <w:gridCol w:w="1134"/>
        <w:gridCol w:w="1275"/>
      </w:tblGrid>
      <w:tr w:rsidR="00F361F2" w:rsidRPr="00F361F2" w:rsidTr="00F361F2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Показатель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2015 год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2018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2019 год</w:t>
            </w:r>
          </w:p>
        </w:tc>
      </w:tr>
      <w:tr w:rsidR="00F361F2" w:rsidRPr="00F361F2" w:rsidTr="00F361F2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Общий</w:t>
            </w:r>
            <w:proofErr w:type="gramEnd"/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турпоток по городу, чел.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60 328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51 165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89 217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75565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82 343</w:t>
            </w:r>
          </w:p>
        </w:tc>
      </w:tr>
      <w:tr w:rsidR="00F361F2" w:rsidRPr="00F361F2" w:rsidTr="00F361F2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Внутренний туристский поток, чел.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51 037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44 028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79 731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66012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72 754</w:t>
            </w:r>
          </w:p>
        </w:tc>
      </w:tr>
      <w:tr w:rsidR="00F361F2" w:rsidRPr="00F361F2" w:rsidTr="00F361F2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Въезд иностранных туристов в город, чел.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1 205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1 087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1 288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828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1 126</w:t>
            </w:r>
          </w:p>
        </w:tc>
      </w:tr>
      <w:tr w:rsidR="00F361F2" w:rsidRPr="00F361F2" w:rsidTr="00F361F2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Выезд жителей города за рубеж, чел.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8 086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6 050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8 198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8725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8 463</w:t>
            </w:r>
          </w:p>
        </w:tc>
      </w:tr>
    </w:tbl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Приоритетными направлениями туристической отрасли города Комсомольска-на-Амуре является экспорт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туруслуг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>, а именно внутренний и въездной туризм, среднегодовые показатели которых составляют 62 712 и 1 100 человек соответственно, при этом в рамках внутреннего туризма только в среднем 6 753 человека (российских и иностранных граждан) обслуживаются непосредственно турфирмами. Прочие 57 059 человек размещены в коллективных средствах города Комсомольска-на-Амуре и являются потенциальными потребителями туристских услуг.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В число основных показателей, характеризующих развитие внутреннего и въездного туризма города Комсомольска-на-Амуре, включены: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количество лиц, размещенных в коллективных средствах размещения города Комсомольска-на-Амуре;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численность экскурсантов, обслуженных предприятиями туристской отрасли города Комсомольска-на-Амуре;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экспорт туристических услуг.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Таблица 2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1134"/>
        <w:gridCol w:w="1134"/>
        <w:gridCol w:w="1134"/>
        <w:gridCol w:w="1134"/>
        <w:gridCol w:w="1134"/>
      </w:tblGrid>
      <w:tr w:rsidR="00F361F2" w:rsidRPr="00F361F2" w:rsidTr="00F361F2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2019 год</w:t>
            </w:r>
          </w:p>
        </w:tc>
      </w:tr>
      <w:tr w:rsidR="00F361F2" w:rsidRPr="00F361F2" w:rsidTr="00F361F2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лиц, размещенных в коллективных средствах размещения города Комсомольска-на-Амуре,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47 265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42 580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71 951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62 647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68 571</w:t>
            </w:r>
          </w:p>
        </w:tc>
      </w:tr>
      <w:tr w:rsidR="00F361F2" w:rsidRPr="00F361F2" w:rsidTr="00F361F2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Численность экскурсантов, обслуженных предприятиями туристской отрасли города Комсомольска-на-Амуре,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237 352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238 062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263 481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266 688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256 506</w:t>
            </w:r>
          </w:p>
        </w:tc>
      </w:tr>
      <w:tr w:rsidR="00F361F2" w:rsidRPr="00F361F2" w:rsidTr="00F361F2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Экспорт туристических услуг,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10 207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14 251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16 792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14 841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11 270</w:t>
            </w:r>
          </w:p>
        </w:tc>
      </w:tr>
    </w:tbl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Развитие экспорта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туруслуг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города Комсомольска-на-Амуре демонстрирует тенденцию, характерную и для Хабаровского края в целом, когда стоимость импорта туристских услуг стабильно значительно превышает стоимость экспорта.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Таблица 3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1134"/>
        <w:gridCol w:w="1134"/>
        <w:gridCol w:w="1134"/>
        <w:gridCol w:w="1134"/>
        <w:gridCol w:w="1134"/>
      </w:tblGrid>
      <w:tr w:rsidR="00F361F2" w:rsidRPr="00F361F2" w:rsidTr="00F361F2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2019 год</w:t>
            </w:r>
          </w:p>
        </w:tc>
      </w:tr>
      <w:tr w:rsidR="00F361F2" w:rsidRPr="00F361F2" w:rsidTr="00F361F2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Экспорт туристических услуг,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10 207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14 251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16 792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14 841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11 270</w:t>
            </w:r>
          </w:p>
        </w:tc>
      </w:tr>
      <w:tr w:rsidR="00F361F2" w:rsidRPr="00F361F2" w:rsidTr="00F361F2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Импорт туристических услуг,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208 908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185 202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251 906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296 942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F2" w:rsidRPr="00F361F2" w:rsidRDefault="00F361F2" w:rsidP="00F36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1F2">
              <w:rPr>
                <w:rFonts w:ascii="Times New Roman" w:hAnsi="Times New Roman" w:cs="Times New Roman"/>
                <w:bCs/>
                <w:sz w:val="28"/>
                <w:szCs w:val="28"/>
              </w:rPr>
              <w:t>304 874</w:t>
            </w:r>
          </w:p>
        </w:tc>
      </w:tr>
    </w:tbl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Основными видами внутреннего и въездного туризма в городском округе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Город Комсомольск-на-Амуре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 являются: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промышленный туризм;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событийный туризм;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детско-юношеский туризм.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Основу для развития промышленного туризма в Комсомольске-на-Амуре составляют четыре градообразующих (Филиал ПАО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Компания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Сухой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КнААЗ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им.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Ю.А.Гагарина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, ПАО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Амурский судостроительный завод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, ООО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ТОРЭКС-Хабаровск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, ООО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РН-КНПЗ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>) предприятия и созданные на их базе музеи - на их долю приходится 88,4% всего промышленного турпотока города.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В 2019 году в перечень предприятий, осуществляющие экскурсии для организованных групп, вошл</w:t>
      </w:r>
      <w:proofErr w:type="gramStart"/>
      <w:r w:rsidRPr="00F361F2">
        <w:rPr>
          <w:rFonts w:ascii="Times New Roman" w:hAnsi="Times New Roman" w:cs="Times New Roman"/>
          <w:bCs/>
          <w:sz w:val="28"/>
          <w:szCs w:val="28"/>
        </w:rPr>
        <w:t>и ООО</w:t>
      </w:r>
      <w:proofErr w:type="gram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Горпищекомбинат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, ФГКУ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8 отряд ФПС по Хабаровскому краю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 - в 2019 году эти предприятия посетило 11,6% всех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промышленных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 экскурсантов.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В 2019 году предприятия города Комсомольска-на-Амуре в рамках промышленного туризма посетили 10 404 человека, из них 3 628 человек посетили производственные площадки предприятий, 6 776 человек - музеи предприятий.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В связи с режимным статусом промышленных предприятий города Комсомольска-на-Амуре, иностранные граждане посещают только музеи </w:t>
      </w:r>
      <w:r w:rsidRPr="00F361F2">
        <w:rPr>
          <w:rFonts w:ascii="Times New Roman" w:hAnsi="Times New Roman" w:cs="Times New Roman"/>
          <w:bCs/>
          <w:sz w:val="28"/>
          <w:szCs w:val="28"/>
        </w:rPr>
        <w:lastRenderedPageBreak/>
        <w:t>предприятий - в 2019 году в рамках промышленного туризма были обслужены 85 иностранных граждан.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Организацией детско-юношеского туризма в городе Комсомольске-на-Амуре занимаются 45 предприятий, в том числе: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туроператоры - 5 предприятий;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учреждения профессионального образования (6 предприятий) совместно с промышленными предприятиями города;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общеобразовательные учреждения - 29 предприятий;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организации дополнительного образования - 3 предприятия;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дошкольные образовательные учреждения - 3 предприятия.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В 2018 году в рамках развития детско-юношеского туризма, турфирмами, учреждениями образования, предприятиями города Комсомольска-на-Амуре обслужено 32 428 детей (105,5% к уровню 2017 года), в том числе по направлениям: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F361F2">
        <w:rPr>
          <w:rFonts w:ascii="Times New Roman" w:hAnsi="Times New Roman" w:cs="Times New Roman"/>
          <w:bCs/>
          <w:sz w:val="28"/>
          <w:szCs w:val="28"/>
        </w:rPr>
        <w:t>культурно-познавательное</w:t>
      </w:r>
      <w:proofErr w:type="gram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- 15 029 человек;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F361F2">
        <w:rPr>
          <w:rFonts w:ascii="Times New Roman" w:hAnsi="Times New Roman" w:cs="Times New Roman"/>
          <w:bCs/>
          <w:sz w:val="28"/>
          <w:szCs w:val="28"/>
        </w:rPr>
        <w:t>промышленное</w:t>
      </w:r>
      <w:proofErr w:type="gram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- 5 591 человек;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профориентационное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- 11 808 человек.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За 2018/2019 учебный год учреждениями образования города организовано 429 образовательных маршрутов, из них 310 экскурсий (в том числе 154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профориентационных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>, 156 краеведческих), 99 маршрутов выходного дня, 20 многодневных походов.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Теоретическая подготовка школьников ведется в 123 кружках и секциях.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Событийный туризм в городе Комсомольске-на-Амуре развивается в рамках организации народных гуляний, посвященных памятным историческим датам (День весны и труда, день окончания Великой Отечественной Войны, День города и др.), народных/национальных праздников (Масленица, Сабантуй,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Fish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>-АМУР-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Fest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), спортивных соревнований (лыжный марафон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Мяо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Чан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>, состязания по рыбной ловле).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Особое место среди событийных мероприятий занимает празднование основания Комсомольского-на-Амуре авиационного завода, которое включает такие мероприятия как показательные полеты боевых истребителей марки Су, выставку образцов передовой авиационной техники гражданского и военного назначения, карнавальное шествие работников предприятия.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В 2019 году в событийных мероприятиях регионального и международного уровня приняли участие порядка 26 226 жителей и гостей города Комсомольска-на-Амуре.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361F2">
        <w:rPr>
          <w:rFonts w:ascii="Times New Roman" w:hAnsi="Times New Roman" w:cs="Times New Roman"/>
          <w:bCs/>
          <w:sz w:val="28"/>
          <w:szCs w:val="28"/>
        </w:rPr>
        <w:t>Фактически основным направлением деятельности большинства туристических фирм города Комсомольска-на-Амуре является импорт туристических услуг, в связи с низкой привлекательностью туристической инфраструктуры города и низким спросом на городской турпродукт, в связи с чем, создание условий для рекреации и отдыха населения и гостей города Комсомольска-на-Амуре рассматривается в качестве одной из приоритетных задач.</w:t>
      </w:r>
      <w:proofErr w:type="gramEnd"/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В целях формирования целостного комплекса взаимосвязанных предприятий туристской индустрии и вспомогательных производств, </w:t>
      </w:r>
      <w:r w:rsidRPr="00F361F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специализирующихся на разных видах туризма и их сочетании, ориентированного как на российских, так и иностранных туристов, в городе Комсомольске-на-Амуре реализуется инвестиционный проект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Туристско-рекреационный кластер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Комсомольский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 (далее - ТРК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Комсомольский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>).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Создание ТРК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Комсомольский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позволит решить проблему несоответствия спроса и предложения на туристском рынке города Комсомольска-на-Амуре, в полной мере раскрыв потенциал территории.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В рамках реализации </w:t>
      </w:r>
      <w:hyperlink r:id="rId11" w:history="1">
        <w:r w:rsidRPr="00F361F2">
          <w:rPr>
            <w:rFonts w:ascii="Times New Roman" w:hAnsi="Times New Roman" w:cs="Times New Roman"/>
            <w:bCs/>
            <w:color w:val="0000FF"/>
            <w:sz w:val="28"/>
            <w:szCs w:val="28"/>
          </w:rPr>
          <w:t>Концепции</w:t>
        </w:r>
      </w:hyperlink>
      <w:r w:rsidRPr="00F361F2">
        <w:rPr>
          <w:rFonts w:ascii="Times New Roman" w:hAnsi="Times New Roman" w:cs="Times New Roman"/>
          <w:bCs/>
          <w:sz w:val="28"/>
          <w:szCs w:val="28"/>
        </w:rPr>
        <w:t xml:space="preserve"> создания ТРК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Комсомольский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gramStart"/>
      <w:r w:rsidRPr="00F361F2">
        <w:rPr>
          <w:rFonts w:ascii="Times New Roman" w:hAnsi="Times New Roman" w:cs="Times New Roman"/>
          <w:bCs/>
          <w:sz w:val="28"/>
          <w:szCs w:val="28"/>
        </w:rPr>
        <w:t>утверждена</w:t>
      </w:r>
      <w:proofErr w:type="gram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постановлением администрации города Комсомольска-на-Амуре от 02 июня 2016 г. N 1478-па) предполагается создание комплекса объектов туристской и сопутствующей инфраструктуры, направленных на организацию отдыха и рекреации жителей и гостей города Комсомольска-на-Амуре, связанных с сетью культурно-познавательных, развлекательных, экологических и спортивных туристских маршрутов.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Проект предполагает создание </w:t>
      </w:r>
      <w:proofErr w:type="gramStart"/>
      <w:r w:rsidRPr="00F361F2">
        <w:rPr>
          <w:rFonts w:ascii="Times New Roman" w:hAnsi="Times New Roman" w:cs="Times New Roman"/>
          <w:bCs/>
          <w:sz w:val="28"/>
          <w:szCs w:val="28"/>
        </w:rPr>
        <w:t>следующих</w:t>
      </w:r>
      <w:proofErr w:type="gram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субкластеров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>: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Субкластер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Центральный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>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Субкластер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Ключевая сопка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>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Субкластер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Силинский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>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4.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Субкластер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Авиационный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>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5.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Субкластер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Холдоми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>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Реализация ТРК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Комсомольский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направлена на решение следующих задач: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1. Становление и развитие системы внутреннего и въездного туризма на территории муниципального образования.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2. Сохранение и рациональное использование культурно-исторического и природного наследия города Комсомольска-на-Амуре.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3. Развитие современной высокоэффективной туристской инфраструктуры.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4. Создание условий для улучшения жизни жителей города Комсомольска-на-Амуре.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Развитие туристской отрасли города Комсомольска-на-Амуре будет развиваться в соответствии с основными тенденциями и направлениями развития, в том числе: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развитие приоритетных видов туризма, в том числе промышленного, детско-юношеского, событийного, социального;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продвижение имиджа города Комсомольска-на-Амуре как территории, благоприятной для развития туризма;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развитие экспорта туристических услуг;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- повышение привлекательности </w:t>
      </w:r>
      <w:proofErr w:type="gramStart"/>
      <w:r w:rsidRPr="00F361F2">
        <w:rPr>
          <w:rFonts w:ascii="Times New Roman" w:hAnsi="Times New Roman" w:cs="Times New Roman"/>
          <w:bCs/>
          <w:sz w:val="28"/>
          <w:szCs w:val="28"/>
        </w:rPr>
        <w:t>городского</w:t>
      </w:r>
      <w:proofErr w:type="gram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турпродукта.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Основными проблемами и сдерживающими факторами развития туристической отрасли города Комсомольска-на-Амуре и причинами, по которым туристы не приезжают в город Комсомольск-на-Амуре, являются: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1. Низкая конкурентоспособность городского туристского продукта, вследствие недостаточности инвестиционных вложений в инфраструктуру туризма - восприятие города Комсомольска-на-Амуре как промышленного </w:t>
      </w:r>
      <w:r w:rsidRPr="00F361F2">
        <w:rPr>
          <w:rFonts w:ascii="Times New Roman" w:hAnsi="Times New Roman" w:cs="Times New Roman"/>
          <w:bCs/>
          <w:sz w:val="28"/>
          <w:szCs w:val="28"/>
        </w:rPr>
        <w:lastRenderedPageBreak/>
        <w:t>центра и отсутствие отношения к туризму как экономически важной сфере деятельности.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2. Недостаточное количество и качество туристских услуг, предлагаемых на туристском рынке в связи с ориентацией абсолютного большинства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туркомпаний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города на выездной туризм.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3. Недостаточное продвижение в качестве турпродукта отличительных особенностей и ключевых преимуществ города (промышленное производство, река Амур, близость национальных сел, наличие природных заповедников и горнолыжных комплексов) на фоне территорий-конкурентов (город Хабаровск, Приморский край).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4. Неразвитая информационная среда и отсутствие стратегии продвижения туристического потенциала города (иностранные и российские туристы не знают о туристических возможностях города).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Решение вышеуказанных проблем будет способствовать: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успешной реализации поставленных задач по расширению и усилению международных и внешнеэкономических связей города;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обновлению партнерства с городами-побратимами;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содействию разработке и осуществлению новых взаимовыгодных проектов и программ;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укреплению имиджа города на международной арене;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созданию благоприятных условий для развития туристической отрасли;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повышению качества предоставляемых туристских услуг;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развитию туристической инфраструктуры.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361F2">
        <w:rPr>
          <w:rFonts w:ascii="Times New Roman" w:hAnsi="Times New Roman" w:cs="Times New Roman"/>
          <w:b/>
          <w:bCs/>
          <w:sz w:val="28"/>
          <w:szCs w:val="28"/>
        </w:rPr>
        <w:t>2. Приоритеты и цели деятельности администрации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61F2">
        <w:rPr>
          <w:rFonts w:ascii="Times New Roman" w:hAnsi="Times New Roman" w:cs="Times New Roman"/>
          <w:b/>
          <w:bCs/>
          <w:sz w:val="28"/>
          <w:szCs w:val="28"/>
        </w:rPr>
        <w:t>города в сфере реализации международных связей и туризма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Приоритеты и цели Программы соответствуют стратегическим целям Стратегии социально-экономического развития городского округа города Комсомольска-на-Амуре Хабаровского края до 2032 года, (далее - Стратегия города)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Кластерная активация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Создание комфортных условий для проживания и повышение качества жизни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. Задачи Программы согласованы со стратегическими приоритетами первого уровня Стратегии города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Экономическое развитие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Накопление человеческого потенциала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, направлены на решение стратегических задач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Развитие инвестиционной деятельности на территории г. Комсомольска-на-Амуре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Развитие сферы культуры и отдыха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. Предлагаемые мероприятия отвечают целям и задачам муниципальной программы, а также соответствуют </w:t>
      </w:r>
      <w:hyperlink r:id="rId12" w:history="1">
        <w:r w:rsidRPr="00F361F2">
          <w:rPr>
            <w:rFonts w:ascii="Times New Roman" w:hAnsi="Times New Roman" w:cs="Times New Roman"/>
            <w:bCs/>
            <w:color w:val="0000FF"/>
            <w:sz w:val="28"/>
            <w:szCs w:val="28"/>
          </w:rPr>
          <w:t>Плану</w:t>
        </w:r>
      </w:hyperlink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мероприятий Стратегии социально-экономического развития муниципального образования городского округа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Город Комсомольск-на-Амуре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до 2032 года, утвержденному постановлением администрации города Комсомольска-на-Амуре от 25 сентября 2017 г. N 2419-па.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Приоритетами и целями деятельности администрации города в сфере реализации международных связей и туризма являются: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lastRenderedPageBreak/>
        <w:t>1. Укрепление сотрудничества с иностранными городами-партнерами, определение новых и приоритетных направлений, создание благоприятных условий для развития кооперации с зарубежными странами, продвижение имиджа города Комсомольска-на-Амуре за рубежом, эффективное использование конкурентных преимуществ города при осуществлении международного сотрудничества.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2. Создание условий для формирования современного конкурентоспособного туристского продукта города Комсомольска-на-Амуре, обеспечивающего удовлетворение потребностей населения и гостей города (российских и иностранных граждан) в туристских услугах и обеспечивающего вклад в развитие экономики муниципального образования городского округа города Комсомольска-на-Амуре.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Для достижения основных целей Программы необходимо решить следующие задачи: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развитие побратимских и дружественных связей города Комсомольска-на-Амуре с зарубежными городами;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развитие международной кооперации и экспорта города Комсомольска-на-Амуре;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продвижение промышленного потенциала города Комсомольска-на-Амуре на внешний рынок;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содействие сотрудничеству предприятий и организаций города с международными организациями;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повышение узнаваемости города Комсомольска-на-Амуре на международной Арене;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повышение информированности населения города Комсомольска-на-Амуре о международной деятельности;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формирование и укрепление положительного имиджа города Комсомольска-на-Амуре как территории благоприятной для развития туризма;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развитие и совершенствование туристической и сопутствующей инфраструктуры;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повышение качества туристических и гостиничных услуг;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повышение информированности населения города Комсомольска-на-Амуре о развитии туристской отрасли.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361F2">
        <w:rPr>
          <w:rFonts w:ascii="Times New Roman" w:hAnsi="Times New Roman" w:cs="Times New Roman"/>
          <w:b/>
          <w:bCs/>
          <w:sz w:val="28"/>
          <w:szCs w:val="28"/>
        </w:rPr>
        <w:t>3. Прогноз конечных результатов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61F2">
        <w:rPr>
          <w:rFonts w:ascii="Times New Roman" w:hAnsi="Times New Roman" w:cs="Times New Roman"/>
          <w:b/>
          <w:bCs/>
          <w:sz w:val="28"/>
          <w:szCs w:val="28"/>
        </w:rPr>
        <w:t>реализации муниципальной программы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В результате реализации Программы будут достигнуты следующие показатели, характеризующие текущие и конечные результаты ее реализации и определяющие ее социально-экономическую эффективность (к показателям 2019 года):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количество международных и внешнеэкономических мероприятий с участием города Комсомольска-на-Амуре увеличится на 14%;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количество мероприятий, проведенных с городами-побратимами, увеличится в 2 раза;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lastRenderedPageBreak/>
        <w:t>- количество предприятий и организаций города Комсомольска-на-Амуре, которым оказано содействие в реализации проектов, участии в специализированных выставках, ярмарках, обучающих семинарах, стажировках и др. международных мероприятиях увеличится на 45%;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количество лиц, размещенных в коллективных средствах размещения города Комсомольска-на-Амуре, увеличится с 77,3 тыс. человек до 77,7 тыс. человек;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численность экскурсантов, обслуженных предприятиями туристской отрасли города Комсомольска-на-Амуре, увеличится с 267,2 тыс. человек до 268 тыс. человек;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- экспорт туристических услуг увеличится с 4 293,8 </w:t>
      </w:r>
      <w:proofErr w:type="gramStart"/>
      <w:r w:rsidRPr="00F361F2">
        <w:rPr>
          <w:rFonts w:ascii="Times New Roman" w:hAnsi="Times New Roman" w:cs="Times New Roman"/>
          <w:bCs/>
          <w:sz w:val="28"/>
          <w:szCs w:val="28"/>
        </w:rPr>
        <w:t>млн</w:t>
      </w:r>
      <w:proofErr w:type="gramEnd"/>
      <w:r w:rsidRPr="00F361F2">
        <w:rPr>
          <w:rFonts w:ascii="Times New Roman" w:hAnsi="Times New Roman" w:cs="Times New Roman"/>
          <w:bCs/>
          <w:sz w:val="28"/>
          <w:szCs w:val="28"/>
        </w:rPr>
        <w:t xml:space="preserve"> рублей до 4 315,3 млн рублей.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К основным ожидаемым результатам от реализации Программы, отражающим социальные и экономические выгоды городского округа, относятся: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установление прямых контактов между представителями деловых кругов города Комсомольска-на-Амуре и иностранных городов, возможность реализации совместных проектов, повышение эффективности делового общения;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поддержание и укрепление имиджа города Комсомольска-на-Амуре, повышение узнаваемости на международной арене, развитие международного сотрудничества;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развитие туристских ресурсов в городском округе создаст дополнительный приток туристов и обеспечит дополнительные поступления доходов в бюджет городского округа за счет увеличения доходов туристских организаций и предприятий, задействованных в формировании турпродукта;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- при увеличении туристских потоков значительно повысится спрос на сувенирную продукцию, изделия местных народных промыслов, изучение традиций, что послужит рекламой городского округа как туристской </w:t>
      </w:r>
      <w:proofErr w:type="spellStart"/>
      <w:r w:rsidRPr="00F361F2">
        <w:rPr>
          <w:rFonts w:ascii="Times New Roman" w:hAnsi="Times New Roman" w:cs="Times New Roman"/>
          <w:bCs/>
          <w:sz w:val="28"/>
          <w:szCs w:val="28"/>
        </w:rPr>
        <w:t>дестинации</w:t>
      </w:r>
      <w:proofErr w:type="spellEnd"/>
      <w:r w:rsidRPr="00F361F2">
        <w:rPr>
          <w:rFonts w:ascii="Times New Roman" w:hAnsi="Times New Roman" w:cs="Times New Roman"/>
          <w:bCs/>
          <w:sz w:val="28"/>
          <w:szCs w:val="28"/>
        </w:rPr>
        <w:t>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развитие туризма создаст дополнительные рабочие места.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361F2">
        <w:rPr>
          <w:rFonts w:ascii="Times New Roman" w:hAnsi="Times New Roman" w:cs="Times New Roman"/>
          <w:b/>
          <w:bCs/>
          <w:sz w:val="28"/>
          <w:szCs w:val="28"/>
        </w:rPr>
        <w:t>4. Срок и этапы реализации Программы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Срок реализации Программы: 2021 - 2025 годы.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361F2">
        <w:rPr>
          <w:rFonts w:ascii="Times New Roman" w:hAnsi="Times New Roman" w:cs="Times New Roman"/>
          <w:b/>
          <w:bCs/>
          <w:sz w:val="28"/>
          <w:szCs w:val="28"/>
        </w:rPr>
        <w:t>5. Перечень показателей (индикаторов) Программы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Перечень целевых показателей (индикаторов) эффективности реализации Программы приведен в </w:t>
      </w:r>
      <w:hyperlink r:id="rId13" w:history="1">
        <w:r w:rsidRPr="00F361F2">
          <w:rPr>
            <w:rFonts w:ascii="Times New Roman" w:hAnsi="Times New Roman" w:cs="Times New Roman"/>
            <w:bCs/>
            <w:color w:val="0000FF"/>
            <w:sz w:val="28"/>
            <w:szCs w:val="28"/>
          </w:rPr>
          <w:t>приложении N 1</w:t>
        </w:r>
      </w:hyperlink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к настоящей Программе.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361F2">
        <w:rPr>
          <w:rFonts w:ascii="Times New Roman" w:hAnsi="Times New Roman" w:cs="Times New Roman"/>
          <w:b/>
          <w:bCs/>
          <w:sz w:val="28"/>
          <w:szCs w:val="28"/>
        </w:rPr>
        <w:t>6. Методика сбора информации и расчета показателей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61F2">
        <w:rPr>
          <w:rFonts w:ascii="Times New Roman" w:hAnsi="Times New Roman" w:cs="Times New Roman"/>
          <w:b/>
          <w:bCs/>
          <w:sz w:val="28"/>
          <w:szCs w:val="28"/>
        </w:rPr>
        <w:t>(индикаторов) Программы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4" w:history="1">
        <w:r w:rsidRPr="00F361F2">
          <w:rPr>
            <w:rFonts w:ascii="Times New Roman" w:hAnsi="Times New Roman" w:cs="Times New Roman"/>
            <w:bCs/>
            <w:color w:val="0000FF"/>
            <w:sz w:val="28"/>
            <w:szCs w:val="28"/>
          </w:rPr>
          <w:t>Методика</w:t>
        </w:r>
      </w:hyperlink>
      <w:r w:rsidRPr="00F361F2">
        <w:rPr>
          <w:rFonts w:ascii="Times New Roman" w:hAnsi="Times New Roman" w:cs="Times New Roman"/>
          <w:bCs/>
          <w:sz w:val="28"/>
          <w:szCs w:val="28"/>
        </w:rPr>
        <w:t xml:space="preserve"> сбора и расчета показателей (индикаторов) Программы приведена в приложении N 2 к настоящей Программе.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361F2">
        <w:rPr>
          <w:rFonts w:ascii="Times New Roman" w:hAnsi="Times New Roman" w:cs="Times New Roman"/>
          <w:b/>
          <w:bCs/>
          <w:sz w:val="28"/>
          <w:szCs w:val="28"/>
        </w:rPr>
        <w:lastRenderedPageBreak/>
        <w:t>7. Краткое описание подпрограмм и основных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61F2">
        <w:rPr>
          <w:rFonts w:ascii="Times New Roman" w:hAnsi="Times New Roman" w:cs="Times New Roman"/>
          <w:b/>
          <w:bCs/>
          <w:sz w:val="28"/>
          <w:szCs w:val="28"/>
        </w:rPr>
        <w:t>мероприятий Программы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5" w:history="1">
        <w:r w:rsidRPr="00F361F2">
          <w:rPr>
            <w:rFonts w:ascii="Times New Roman" w:hAnsi="Times New Roman" w:cs="Times New Roman"/>
            <w:bCs/>
            <w:color w:val="0000FF"/>
            <w:sz w:val="28"/>
            <w:szCs w:val="28"/>
          </w:rPr>
          <w:t>Перечень</w:t>
        </w:r>
      </w:hyperlink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мероприятий приведен в приложении N 3 к настоящей Программе.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361F2">
        <w:rPr>
          <w:rFonts w:ascii="Times New Roman" w:hAnsi="Times New Roman" w:cs="Times New Roman"/>
          <w:b/>
          <w:bCs/>
          <w:sz w:val="28"/>
          <w:szCs w:val="28"/>
        </w:rPr>
        <w:t>8. Основные меры правового регулирования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На период реализации Программы разработка и исполнение сопутствующей нормативно-правовой базы не предусмотрено.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361F2">
        <w:rPr>
          <w:rFonts w:ascii="Times New Roman" w:hAnsi="Times New Roman" w:cs="Times New Roman"/>
          <w:b/>
          <w:bCs/>
          <w:sz w:val="28"/>
          <w:szCs w:val="28"/>
        </w:rPr>
        <w:t>9. Ресурсное обеспечение реализации Программы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Общий объем финансирования Программы (прогнозная справочная оценка) за счет всех источников составляет - 2 520 851,28 тыс. руб.,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в том числе по годам: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- 2021 год - 828 726,78 тыс. руб.;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- 2022 год - 852 774,50 тыс. руб.;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- 2023 год - 811 450,00 тыс. руб.;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- 2024 год - 26 450,00 тыс. руб.;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- 2025 год - 1 450,00 тыс. руб.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1. Краевой бюджет (по согласованию) - 70 723,41 тыс. руб., в том числе по годам: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- 2021 год - 70 723,41 тыс. руб.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2. Местный бюджет - 40 127,87 тыс. руб., в том числе по годам: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- 2021 год - 8 003,37 тыс. руб.;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- 2022 год - 2 774,50 тыс. руб.;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- 2023 год - 1 450,00 тыс. руб.;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- 2024 год - 26 450,00 тыс. руб.;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- 2025 год - 1 450,00 тыс. руб.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3. Внебюджетные средства (по согласованию) - 2 410 000,00 тыс. руб., в том числе по годам: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- 2021 год - 750 000,00 тыс. руб.;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- 2022 год - 850 000,00 тыс. руб.;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- 2023 год - 810 000,00 тыс. руб.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Ресурсное </w:t>
      </w:r>
      <w:hyperlink r:id="rId16" w:history="1">
        <w:r w:rsidRPr="00F361F2">
          <w:rPr>
            <w:rFonts w:ascii="Times New Roman" w:hAnsi="Times New Roman" w:cs="Times New Roman"/>
            <w:bCs/>
            <w:color w:val="0000FF"/>
            <w:sz w:val="28"/>
            <w:szCs w:val="28"/>
          </w:rPr>
          <w:t>обеспечение</w:t>
        </w:r>
      </w:hyperlink>
      <w:r w:rsidRPr="00F361F2">
        <w:rPr>
          <w:rFonts w:ascii="Times New Roman" w:hAnsi="Times New Roman" w:cs="Times New Roman"/>
          <w:bCs/>
          <w:sz w:val="28"/>
          <w:szCs w:val="28"/>
        </w:rPr>
        <w:t xml:space="preserve"> Программы за счет средств бюджетов всех уровней представлено в приложении 4.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61F2">
        <w:rPr>
          <w:rFonts w:ascii="Times New Roman" w:hAnsi="Times New Roman" w:cs="Times New Roman"/>
          <w:bCs/>
          <w:sz w:val="28"/>
          <w:szCs w:val="28"/>
        </w:rPr>
        <w:t>Ежегодный объем финансирования мероприятий Программы может уточняться в соответствии с бюджетным законодательством.</w:t>
      </w:r>
    </w:p>
    <w:p w:rsid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361F2">
        <w:rPr>
          <w:rFonts w:ascii="Times New Roman" w:hAnsi="Times New Roman" w:cs="Times New Roman"/>
          <w:b/>
          <w:bCs/>
          <w:sz w:val="28"/>
          <w:szCs w:val="28"/>
        </w:rPr>
        <w:t>11. Методика оценки эффективности реализации Программы</w:t>
      </w:r>
    </w:p>
    <w:p w:rsidR="00F361F2" w:rsidRPr="00F361F2" w:rsidRDefault="00F361F2" w:rsidP="00F361F2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361F2">
        <w:rPr>
          <w:rFonts w:ascii="Times New Roman" w:hAnsi="Times New Roman" w:cs="Times New Roman"/>
          <w:bCs/>
          <w:sz w:val="28"/>
          <w:szCs w:val="28"/>
        </w:rPr>
        <w:t xml:space="preserve">Оценка эффективности реализации Программы осуществляется ответственным исполнителем Программы ежегодно на основе </w:t>
      </w:r>
      <w:hyperlink r:id="rId17" w:history="1">
        <w:r w:rsidRPr="00F361F2">
          <w:rPr>
            <w:rFonts w:ascii="Times New Roman" w:hAnsi="Times New Roman" w:cs="Times New Roman"/>
            <w:bCs/>
            <w:color w:val="0000FF"/>
            <w:sz w:val="28"/>
            <w:szCs w:val="28"/>
          </w:rPr>
          <w:t>методики</w:t>
        </w:r>
      </w:hyperlink>
      <w:r w:rsidRPr="00F361F2">
        <w:rPr>
          <w:rFonts w:ascii="Times New Roman" w:hAnsi="Times New Roman" w:cs="Times New Roman"/>
          <w:bCs/>
          <w:sz w:val="28"/>
          <w:szCs w:val="28"/>
        </w:rPr>
        <w:t xml:space="preserve">, утвержденной постановлением администрации города Комсомольска-на-Амуре от 11 июня 2020 г. N 1104-па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361F2">
        <w:rPr>
          <w:rFonts w:ascii="Times New Roman" w:hAnsi="Times New Roman" w:cs="Times New Roman"/>
          <w:bCs/>
          <w:sz w:val="28"/>
          <w:szCs w:val="28"/>
        </w:rPr>
        <w:t>Об утверждении Порядка принятия решений о разработке муниципальных программ, их формирования, реализации и проведения оценки эффективности реализации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361F2">
        <w:rPr>
          <w:rFonts w:ascii="Times New Roman" w:hAnsi="Times New Roman" w:cs="Times New Roman"/>
          <w:bCs/>
          <w:sz w:val="28"/>
          <w:szCs w:val="28"/>
        </w:rPr>
        <w:t>.</w:t>
      </w:r>
      <w:bookmarkStart w:id="0" w:name="_GoBack"/>
      <w:bookmarkEnd w:id="0"/>
    </w:p>
    <w:sectPr w:rsidR="00F361F2" w:rsidRPr="00F361F2" w:rsidSect="00F361F2">
      <w:headerReference w:type="default" r:id="rId18"/>
      <w:pgSz w:w="11905" w:h="16840"/>
      <w:pgMar w:top="1134" w:right="680" w:bottom="1134" w:left="153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49B" w:rsidRDefault="00DD749B" w:rsidP="00DD749B">
      <w:pPr>
        <w:spacing w:after="0" w:line="240" w:lineRule="auto"/>
      </w:pPr>
      <w:r>
        <w:separator/>
      </w:r>
    </w:p>
  </w:endnote>
  <w:endnote w:type="continuationSeparator" w:id="0">
    <w:p w:rsidR="00DD749B" w:rsidRDefault="00DD749B" w:rsidP="00DD7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49B" w:rsidRDefault="00DD749B" w:rsidP="00DD749B">
      <w:pPr>
        <w:spacing w:after="0" w:line="240" w:lineRule="auto"/>
      </w:pPr>
      <w:r>
        <w:separator/>
      </w:r>
    </w:p>
  </w:footnote>
  <w:footnote w:type="continuationSeparator" w:id="0">
    <w:p w:rsidR="00DD749B" w:rsidRDefault="00DD749B" w:rsidP="00DD7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29763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D749B" w:rsidRPr="00DD749B" w:rsidRDefault="00DD749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D7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D7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D7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361F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D7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D749B" w:rsidRDefault="00DD749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1F79B3"/>
    <w:rsid w:val="00744BE0"/>
    <w:rsid w:val="007D2CC6"/>
    <w:rsid w:val="00874325"/>
    <w:rsid w:val="009C0AAB"/>
    <w:rsid w:val="00DD749B"/>
    <w:rsid w:val="00F3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D7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749B"/>
  </w:style>
  <w:style w:type="paragraph" w:styleId="a7">
    <w:name w:val="footer"/>
    <w:basedOn w:val="a"/>
    <w:link w:val="a8"/>
    <w:uiPriority w:val="99"/>
    <w:unhideWhenUsed/>
    <w:rsid w:val="00DD7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D74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D7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749B"/>
  </w:style>
  <w:style w:type="paragraph" w:styleId="a7">
    <w:name w:val="footer"/>
    <w:basedOn w:val="a"/>
    <w:link w:val="a8"/>
    <w:uiPriority w:val="99"/>
    <w:unhideWhenUsed/>
    <w:rsid w:val="00DD7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D74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27E5187E14272938FC4A3DDDF9B3FA23176751701C5C04CF44EB339E1DDE60BDF9CD38E4D8E07E3F866C4813CC39A649F0E6AC97FB9DBC9974297FI4eDC" TargetMode="External"/><Relationship Id="rId13" Type="http://schemas.openxmlformats.org/officeDocument/2006/relationships/hyperlink" Target="consultantplus://offline/ref=1F27E5187E14272938FC4A3DDDF9B3FA2317675170185203C744EB339E1DDE60BDF9CD38E4D8E07E3F866F4F17CC39A649F0E6AC97FB9DBC9974297FI4eDC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F27E5187E14272938FC4A3DDDF9B3FA2317675170185B01C845EB339E1DDE60BDF9CD38E4D8E07E3F85684017CC39A649F0E6AC97FB9DBC9974297FI4eDC" TargetMode="External"/><Relationship Id="rId12" Type="http://schemas.openxmlformats.org/officeDocument/2006/relationships/hyperlink" Target="consultantplus://offline/ref=1F27E5187E14272938FC4A3DDDF9B3FA23176751701F5206CA4CEB339E1DDE60BDF9CD38E4D8E07E3F866C4812CC39A649F0E6AC97FB9DBC9974297FI4eDC" TargetMode="External"/><Relationship Id="rId17" Type="http://schemas.openxmlformats.org/officeDocument/2006/relationships/hyperlink" Target="consultantplus://offline/ref=1F27E5187E14272938FC4A3DDDF9B3FA231767517019520FC74CEB339E1DDE60BDF9CD38E4D8E07E3F866E4115CC39A649F0E6AC97FB9DBC9974297FI4eD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F27E5187E14272938FC4A3DDDF9B3FA2317675170185203C744EB339E1DDE60BDF9CD38E4D8E07E3F87644B16CC39A649F0E6AC97FB9DBC9974297FI4eDC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F27E5187E14272938FC4A3DDDF9B3FA23176751701D530FC744EB339E1DDE60BDF9CD38E4D8E07E3F866C4815CC39A649F0E6AC97FB9DBC9974297FI4eD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F27E5187E14272938FC4A3DDDF9B3FA2317675170185203C744EB339E1DDE60BDF9CD38E4D8E07E3F8669481BCC39A649F0E6AC97FB9DBC9974297FI4eDC" TargetMode="External"/><Relationship Id="rId10" Type="http://schemas.openxmlformats.org/officeDocument/2006/relationships/hyperlink" Target="consultantplus://offline/ref=1F27E5187E14272938FC5430CB95EDF621143058731551519311ED64C14DD835EFB99361A799F37E3E986E4910ICe6C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F27E5187E14272938FC4A3DDDF9B3FA23176751701F5206CA4CEB339E1DDE60BDF9CD38E4D8E07E3F866C4812CC39A649F0E6AC97FB9DBC9974297FI4eDC" TargetMode="External"/><Relationship Id="rId14" Type="http://schemas.openxmlformats.org/officeDocument/2006/relationships/hyperlink" Target="consultantplus://offline/ref=1F27E5187E14272938FC4A3DDDF9B3FA2317675170185203C744EB339E1DDE60BDF9CD38E4D8E07E3F86684E14CC39A649F0E6AC97FB9DBC9974297FI4e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5141</Words>
  <Characters>29305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Михалева Н.В.</cp:lastModifiedBy>
  <cp:revision>2</cp:revision>
  <cp:lastPrinted>2021-11-05T02:37:00Z</cp:lastPrinted>
  <dcterms:created xsi:type="dcterms:W3CDTF">2021-11-05T02:38:00Z</dcterms:created>
  <dcterms:modified xsi:type="dcterms:W3CDTF">2021-11-05T02:38:00Z</dcterms:modified>
</cp:coreProperties>
</file>